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408"/>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7071"/>
        <w:gridCol w:w="3342"/>
        <w:gridCol w:w="2257"/>
        <w:gridCol w:w="1384"/>
      </w:tblGrid>
      <w:tr w:rsidR="00576EEF" w:rsidRPr="00FD2337" w14:paraId="31437E10" w14:textId="77777777" w:rsidTr="00AA7048">
        <w:trPr>
          <w:trHeight w:val="278"/>
        </w:trPr>
        <w:tc>
          <w:tcPr>
            <w:tcW w:w="15163" w:type="dxa"/>
            <w:gridSpan w:val="5"/>
            <w:shd w:val="clear" w:color="auto" w:fill="FFFF00"/>
          </w:tcPr>
          <w:p w14:paraId="4D5AD8FF" w14:textId="77777777" w:rsidR="00576EEF" w:rsidRPr="00FD2337" w:rsidRDefault="00576EEF" w:rsidP="00AA7048">
            <w:pPr>
              <w:spacing w:after="0" w:line="240" w:lineRule="auto"/>
              <w:jc w:val="center"/>
              <w:rPr>
                <w:rFonts w:ascii="Tahoma" w:eastAsia="Calibri" w:hAnsi="Tahoma" w:cs="Tahoma"/>
              </w:rPr>
            </w:pPr>
            <w:r w:rsidRPr="00FD2337">
              <w:rPr>
                <w:rFonts w:ascii="Tahoma" w:eastAsia="Calibri" w:hAnsi="Tahoma" w:cs="Tahoma"/>
                <w:b/>
              </w:rPr>
              <w:t>SEND Subject Development Planning 202</w:t>
            </w:r>
            <w:r>
              <w:rPr>
                <w:rFonts w:ascii="Tahoma" w:eastAsia="Calibri" w:hAnsi="Tahoma" w:cs="Tahoma"/>
                <w:b/>
              </w:rPr>
              <w:t>3</w:t>
            </w:r>
            <w:r w:rsidRPr="00FD2337">
              <w:rPr>
                <w:rFonts w:ascii="Tahoma" w:eastAsia="Calibri" w:hAnsi="Tahoma" w:cs="Tahoma"/>
                <w:b/>
              </w:rPr>
              <w:t xml:space="preserve"> – 202</w:t>
            </w:r>
            <w:r>
              <w:rPr>
                <w:rFonts w:ascii="Tahoma" w:eastAsia="Calibri" w:hAnsi="Tahoma" w:cs="Tahoma"/>
                <w:b/>
              </w:rPr>
              <w:t>4</w:t>
            </w:r>
          </w:p>
        </w:tc>
      </w:tr>
      <w:tr w:rsidR="00576EEF" w:rsidRPr="00FD2337" w14:paraId="256C26B1" w14:textId="77777777" w:rsidTr="00AA7048">
        <w:tc>
          <w:tcPr>
            <w:tcW w:w="1109" w:type="dxa"/>
            <w:shd w:val="clear" w:color="auto" w:fill="FFFF00"/>
          </w:tcPr>
          <w:p w14:paraId="0547F3F9"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Action Point</w:t>
            </w:r>
          </w:p>
        </w:tc>
        <w:tc>
          <w:tcPr>
            <w:tcW w:w="7071" w:type="dxa"/>
            <w:shd w:val="clear" w:color="auto" w:fill="FFFF00"/>
          </w:tcPr>
          <w:p w14:paraId="346747DD"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Action</w:t>
            </w:r>
          </w:p>
        </w:tc>
        <w:tc>
          <w:tcPr>
            <w:tcW w:w="3342" w:type="dxa"/>
            <w:shd w:val="clear" w:color="auto" w:fill="FFFF00"/>
          </w:tcPr>
          <w:p w14:paraId="793CA9CC"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Outcome/success criteria</w:t>
            </w:r>
          </w:p>
        </w:tc>
        <w:tc>
          <w:tcPr>
            <w:tcW w:w="2257" w:type="dxa"/>
            <w:shd w:val="clear" w:color="auto" w:fill="FFFF00"/>
          </w:tcPr>
          <w:p w14:paraId="274AE003"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Monitoring</w:t>
            </w:r>
          </w:p>
        </w:tc>
        <w:tc>
          <w:tcPr>
            <w:tcW w:w="1384" w:type="dxa"/>
            <w:shd w:val="clear" w:color="auto" w:fill="FFFF00"/>
          </w:tcPr>
          <w:p w14:paraId="7E8091F4" w14:textId="77777777" w:rsidR="00576EEF" w:rsidRPr="00FD2337" w:rsidRDefault="00576EEF" w:rsidP="00AA7048">
            <w:pPr>
              <w:spacing w:after="0" w:line="240" w:lineRule="auto"/>
              <w:rPr>
                <w:rFonts w:ascii="Tahoma" w:eastAsia="Calibri" w:hAnsi="Tahoma" w:cs="Tahoma"/>
                <w:b/>
                <w:highlight w:val="yellow"/>
              </w:rPr>
            </w:pPr>
            <w:r w:rsidRPr="00FD2337">
              <w:rPr>
                <w:rFonts w:ascii="Tahoma" w:eastAsia="Calibri" w:hAnsi="Tahoma" w:cs="Tahoma"/>
                <w:b/>
                <w:highlight w:val="yellow"/>
              </w:rPr>
              <w:t>Evaluation narrative</w:t>
            </w:r>
          </w:p>
        </w:tc>
      </w:tr>
      <w:tr w:rsidR="00576EEF" w:rsidRPr="00FD2337" w14:paraId="47D27C0D" w14:textId="77777777" w:rsidTr="00AA7048">
        <w:tc>
          <w:tcPr>
            <w:tcW w:w="1109" w:type="dxa"/>
            <w:shd w:val="clear" w:color="auto" w:fill="FFFF00"/>
          </w:tcPr>
          <w:p w14:paraId="41152141"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 xml:space="preserve">Action A: </w:t>
            </w:r>
          </w:p>
          <w:p w14:paraId="62A982FE" w14:textId="77777777" w:rsidR="00576EEF" w:rsidRPr="00FD2337" w:rsidRDefault="00576EEF" w:rsidP="00AA7048">
            <w:pPr>
              <w:spacing w:after="0" w:line="240" w:lineRule="auto"/>
              <w:rPr>
                <w:rFonts w:ascii="Tahoma" w:eastAsia="Calibri" w:hAnsi="Tahoma" w:cs="Tahoma"/>
                <w:b/>
                <w:i/>
              </w:rPr>
            </w:pPr>
          </w:p>
        </w:tc>
        <w:tc>
          <w:tcPr>
            <w:tcW w:w="7071" w:type="dxa"/>
            <w:shd w:val="clear" w:color="auto" w:fill="FFFFFF"/>
          </w:tcPr>
          <w:p w14:paraId="1C1335F3"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All statutory elements of SEND Code of Practice will be in place and effective in improving outcomes for children on SEND register.</w:t>
            </w:r>
          </w:p>
          <w:p w14:paraId="28095F6E"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Communication with all staff regarding SEND processes and information are clear, with staff knowing their responsibilities towards meeting the needs of all pupils with SEND.</w:t>
            </w:r>
          </w:p>
          <w:p w14:paraId="0A9EC2A0" w14:textId="77777777" w:rsidR="00576EEF" w:rsidRDefault="00576EEF" w:rsidP="00AA7048">
            <w:pPr>
              <w:spacing w:after="0" w:line="240" w:lineRule="auto"/>
              <w:rPr>
                <w:rFonts w:ascii="Tahoma" w:eastAsia="Calibri" w:hAnsi="Tahoma" w:cs="Tahoma"/>
                <w:b/>
                <w:bCs/>
                <w:iCs/>
              </w:rPr>
            </w:pPr>
            <w:r w:rsidRPr="00FD2337">
              <w:rPr>
                <w:rFonts w:ascii="Tahoma" w:eastAsia="Calibri" w:hAnsi="Tahoma" w:cs="Tahoma"/>
                <w:iCs/>
              </w:rPr>
              <w:t xml:space="preserve">All staff know and are rigorously implement school aims for all children with SEND: </w:t>
            </w:r>
            <w:r w:rsidRPr="00FD2337">
              <w:rPr>
                <w:rFonts w:ascii="Tahoma" w:eastAsia="Calibri" w:hAnsi="Tahoma" w:cs="Tahoma"/>
                <w:b/>
                <w:bCs/>
                <w:iCs/>
              </w:rPr>
              <w:t>Happy; Included; NARE or making accelerated progress</w:t>
            </w:r>
          </w:p>
          <w:p w14:paraId="079D286E" w14:textId="77777777" w:rsidR="00576EEF" w:rsidRPr="00FD2337" w:rsidRDefault="00576EEF" w:rsidP="00AA7048">
            <w:pPr>
              <w:spacing w:after="0" w:line="240" w:lineRule="auto"/>
              <w:rPr>
                <w:rFonts w:ascii="Tahoma" w:eastAsia="Calibri" w:hAnsi="Tahoma" w:cs="Tahoma"/>
                <w:iCs/>
              </w:rPr>
            </w:pPr>
            <w:r>
              <w:rPr>
                <w:rFonts w:ascii="Tahoma" w:eastAsia="Calibri" w:hAnsi="Tahoma" w:cs="Tahoma"/>
                <w:iCs/>
              </w:rPr>
              <w:t>Statutory SEND reviews (including EHC reviews) termly in weeks of: 04/12/23; 25/03/24 and 08/07/24</w:t>
            </w:r>
          </w:p>
        </w:tc>
        <w:tc>
          <w:tcPr>
            <w:tcW w:w="3342" w:type="dxa"/>
            <w:shd w:val="clear" w:color="auto" w:fill="FFFFFF"/>
          </w:tcPr>
          <w:p w14:paraId="3324AF32"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Termly IEP reviews and annual EHC reviews with parents of pupils on SEND register: SENCO, pupil, teacher, and support staff ensure consistency and progress</w:t>
            </w:r>
          </w:p>
          <w:p w14:paraId="2161E396"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All statutory documents on website including SEND Information report / policy and are accessible to all parents</w:t>
            </w:r>
          </w:p>
        </w:tc>
        <w:tc>
          <w:tcPr>
            <w:tcW w:w="2257" w:type="dxa"/>
          </w:tcPr>
          <w:p w14:paraId="4364C3D7"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 xml:space="preserve">Termly Primary Executive Lead visit checks site for </w:t>
            </w:r>
            <w:proofErr w:type="gramStart"/>
            <w:r w:rsidRPr="00FD2337">
              <w:rPr>
                <w:rFonts w:ascii="Tahoma" w:eastAsia="Calibri" w:hAnsi="Tahoma" w:cs="Tahoma"/>
                <w:iCs/>
              </w:rPr>
              <w:t>compliance;  Termly</w:t>
            </w:r>
            <w:proofErr w:type="gramEnd"/>
            <w:r w:rsidRPr="00FD2337">
              <w:rPr>
                <w:rFonts w:ascii="Tahoma" w:eastAsia="Calibri" w:hAnsi="Tahoma" w:cs="Tahoma"/>
                <w:iCs/>
              </w:rPr>
              <w:t xml:space="preserve"> SHIP visit from partner head teachers always tests school aims for children on SEND Register</w:t>
            </w:r>
          </w:p>
        </w:tc>
        <w:tc>
          <w:tcPr>
            <w:tcW w:w="1384" w:type="dxa"/>
          </w:tcPr>
          <w:p w14:paraId="0BB9DA7D" w14:textId="77777777" w:rsidR="00576EEF" w:rsidRPr="00FD2337" w:rsidRDefault="00576EEF" w:rsidP="00AA7048">
            <w:pPr>
              <w:spacing w:after="0" w:line="240" w:lineRule="auto"/>
              <w:rPr>
                <w:rFonts w:ascii="Tahoma" w:eastAsia="Calibri" w:hAnsi="Tahoma" w:cs="Tahoma"/>
                <w:color w:val="C00000"/>
              </w:rPr>
            </w:pPr>
            <w:r w:rsidRPr="00FD2337">
              <w:rPr>
                <w:rFonts w:ascii="Tahoma" w:eastAsia="Calibri" w:hAnsi="Tahoma" w:cs="Tahoma"/>
                <w:color w:val="C00000"/>
              </w:rPr>
              <w:t xml:space="preserve">AUTUMN – SHIP </w:t>
            </w:r>
          </w:p>
          <w:p w14:paraId="73FF968B" w14:textId="77777777" w:rsidR="00576EEF" w:rsidRPr="00FD2337" w:rsidRDefault="00576EEF" w:rsidP="00AA7048">
            <w:pPr>
              <w:spacing w:after="0" w:line="240" w:lineRule="auto"/>
              <w:rPr>
                <w:rFonts w:ascii="Tahoma" w:eastAsia="Calibri" w:hAnsi="Tahoma" w:cs="Tahoma"/>
                <w:color w:val="00B050"/>
              </w:rPr>
            </w:pPr>
            <w:r w:rsidRPr="00FD2337">
              <w:rPr>
                <w:rFonts w:ascii="Tahoma" w:eastAsia="Calibri" w:hAnsi="Tahoma" w:cs="Tahoma"/>
                <w:color w:val="00B050"/>
              </w:rPr>
              <w:t xml:space="preserve">SPRING – SHIP </w:t>
            </w:r>
          </w:p>
          <w:p w14:paraId="2F3F47FC" w14:textId="77777777" w:rsidR="00576EEF" w:rsidRPr="00FD2337" w:rsidRDefault="00576EEF" w:rsidP="00AA7048">
            <w:pPr>
              <w:spacing w:after="0" w:line="240" w:lineRule="auto"/>
              <w:rPr>
                <w:rFonts w:ascii="Tahoma" w:eastAsia="Calibri" w:hAnsi="Tahoma" w:cs="Tahoma"/>
                <w:color w:val="FFFF00"/>
              </w:rPr>
            </w:pPr>
            <w:r w:rsidRPr="00FD2337">
              <w:rPr>
                <w:rFonts w:ascii="Tahoma" w:eastAsia="Calibri" w:hAnsi="Tahoma" w:cs="Tahoma"/>
                <w:color w:val="FFFF00"/>
              </w:rPr>
              <w:t xml:space="preserve">SUMMER – PEL </w:t>
            </w:r>
          </w:p>
          <w:p w14:paraId="29B96132" w14:textId="77777777" w:rsidR="00576EEF" w:rsidRPr="00FD2337" w:rsidRDefault="00576EEF" w:rsidP="00AA7048">
            <w:pPr>
              <w:spacing w:after="0" w:line="240" w:lineRule="auto"/>
              <w:rPr>
                <w:rFonts w:ascii="Tahoma" w:eastAsia="Calibri" w:hAnsi="Tahoma" w:cs="Tahoma"/>
              </w:rPr>
            </w:pPr>
            <w:r w:rsidRPr="00FD2337">
              <w:rPr>
                <w:rFonts w:ascii="Tahoma" w:eastAsia="Calibri" w:hAnsi="Tahoma" w:cs="Tahoma"/>
                <w:color w:val="FFFF00"/>
              </w:rPr>
              <w:t xml:space="preserve">Governor Link week </w:t>
            </w:r>
            <w:r>
              <w:rPr>
                <w:rFonts w:ascii="Tahoma" w:eastAsia="Calibri" w:hAnsi="Tahoma" w:cs="Tahoma"/>
                <w:color w:val="FFFF00"/>
              </w:rPr>
              <w:t>20</w:t>
            </w:r>
            <w:r w:rsidRPr="00FD2337">
              <w:rPr>
                <w:rFonts w:ascii="Tahoma" w:eastAsia="Calibri" w:hAnsi="Tahoma" w:cs="Tahoma"/>
                <w:color w:val="FFFF00"/>
              </w:rPr>
              <w:t>/05/2</w:t>
            </w:r>
            <w:r>
              <w:rPr>
                <w:rFonts w:ascii="Tahoma" w:eastAsia="Calibri" w:hAnsi="Tahoma" w:cs="Tahoma"/>
                <w:color w:val="FFFF00"/>
              </w:rPr>
              <w:t>4</w:t>
            </w:r>
          </w:p>
        </w:tc>
      </w:tr>
      <w:tr w:rsidR="00576EEF" w:rsidRPr="00FD2337" w14:paraId="4CB1F6C2" w14:textId="77777777" w:rsidTr="00AA7048">
        <w:tc>
          <w:tcPr>
            <w:tcW w:w="1109" w:type="dxa"/>
            <w:shd w:val="clear" w:color="auto" w:fill="FFFF00"/>
          </w:tcPr>
          <w:p w14:paraId="70EDE419"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 xml:space="preserve">Action B: </w:t>
            </w:r>
          </w:p>
          <w:p w14:paraId="71548A11" w14:textId="77777777" w:rsidR="00576EEF" w:rsidRPr="00FD2337" w:rsidRDefault="00576EEF" w:rsidP="00AA7048">
            <w:pPr>
              <w:spacing w:after="0" w:line="240" w:lineRule="auto"/>
              <w:rPr>
                <w:rFonts w:ascii="Tahoma" w:eastAsia="Calibri" w:hAnsi="Tahoma" w:cs="Tahoma"/>
                <w:b/>
              </w:rPr>
            </w:pPr>
          </w:p>
        </w:tc>
        <w:tc>
          <w:tcPr>
            <w:tcW w:w="7071" w:type="dxa"/>
            <w:shd w:val="clear" w:color="auto" w:fill="FFFFFF"/>
          </w:tcPr>
          <w:p w14:paraId="53419919"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Named adult lead for each child on SEND register.</w:t>
            </w:r>
          </w:p>
          <w:p w14:paraId="169B35B7"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Each child has a single folder with all key information and curriculum adaptations led by named adult and shared regularly with all staff which informs discussion in each Staff Meeting where new IEP targets and barriers are shared with all staff.</w:t>
            </w:r>
          </w:p>
          <w:p w14:paraId="5B687AF4"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All children working at Pre-Key Stage levels have precise and targeted support including RWINC and B-Squared.</w:t>
            </w:r>
          </w:p>
        </w:tc>
        <w:tc>
          <w:tcPr>
            <w:tcW w:w="3342" w:type="dxa"/>
            <w:shd w:val="clear" w:color="auto" w:fill="FFFFFF"/>
          </w:tcPr>
          <w:p w14:paraId="5241DBCD"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Information is shared, barriers to learning are removed and all children on SEND register are Happy; Included; NARE or making accelerated progress</w:t>
            </w:r>
          </w:p>
        </w:tc>
        <w:tc>
          <w:tcPr>
            <w:tcW w:w="2257" w:type="dxa"/>
          </w:tcPr>
          <w:p w14:paraId="439A164C"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 xml:space="preserve">The SEND register is reviewed half-termly with SMT; meetings with all staff to discuss levels of need and necessary interventions </w:t>
            </w:r>
          </w:p>
        </w:tc>
        <w:tc>
          <w:tcPr>
            <w:tcW w:w="1384" w:type="dxa"/>
          </w:tcPr>
          <w:p w14:paraId="09563EC0" w14:textId="77777777" w:rsidR="00576EEF" w:rsidRPr="00FD2337" w:rsidRDefault="00576EEF" w:rsidP="00AA7048">
            <w:pPr>
              <w:spacing w:after="0" w:line="240" w:lineRule="auto"/>
              <w:rPr>
                <w:rFonts w:ascii="Tahoma" w:eastAsia="Calibri" w:hAnsi="Tahoma" w:cs="Tahoma"/>
              </w:rPr>
            </w:pPr>
            <w:r w:rsidRPr="00FD2337">
              <w:rPr>
                <w:rFonts w:ascii="Tahoma" w:eastAsia="Calibri" w:hAnsi="Tahoma" w:cs="Tahoma"/>
              </w:rPr>
              <w:t>As above</w:t>
            </w:r>
          </w:p>
        </w:tc>
      </w:tr>
      <w:tr w:rsidR="00576EEF" w:rsidRPr="00FD2337" w14:paraId="5761AEDA" w14:textId="77777777" w:rsidTr="00AA7048">
        <w:tc>
          <w:tcPr>
            <w:tcW w:w="1109" w:type="dxa"/>
            <w:shd w:val="clear" w:color="auto" w:fill="FFFF00"/>
          </w:tcPr>
          <w:p w14:paraId="6254545B"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 xml:space="preserve">Action C: </w:t>
            </w:r>
          </w:p>
          <w:p w14:paraId="583505C4" w14:textId="77777777" w:rsidR="00576EEF" w:rsidRPr="00FD2337" w:rsidRDefault="00576EEF" w:rsidP="00AA7048">
            <w:pPr>
              <w:spacing w:after="0" w:line="240" w:lineRule="auto"/>
              <w:rPr>
                <w:rFonts w:ascii="Tahoma" w:eastAsia="Calibri" w:hAnsi="Tahoma" w:cs="Tahoma"/>
                <w:b/>
              </w:rPr>
            </w:pPr>
          </w:p>
        </w:tc>
        <w:tc>
          <w:tcPr>
            <w:tcW w:w="7071" w:type="dxa"/>
            <w:shd w:val="clear" w:color="auto" w:fill="FFFFFF"/>
          </w:tcPr>
          <w:p w14:paraId="052B20D3"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Interventions are timely, monitored and effective as part of APDR cycle.</w:t>
            </w:r>
          </w:p>
        </w:tc>
        <w:tc>
          <w:tcPr>
            <w:tcW w:w="3342" w:type="dxa"/>
            <w:shd w:val="clear" w:color="auto" w:fill="FFFFFF"/>
          </w:tcPr>
          <w:p w14:paraId="6296F25A" w14:textId="77777777" w:rsidR="00576EEF" w:rsidRPr="00D727AE" w:rsidRDefault="00576EEF" w:rsidP="00AA7048">
            <w:pPr>
              <w:spacing w:after="0" w:line="240" w:lineRule="auto"/>
              <w:rPr>
                <w:rFonts w:ascii="Tahoma" w:eastAsia="Calibri" w:hAnsi="Tahoma" w:cs="Tahoma"/>
                <w:iCs/>
              </w:rPr>
            </w:pPr>
            <w:r w:rsidRPr="00FD2337">
              <w:rPr>
                <w:rFonts w:ascii="Tahoma" w:eastAsia="Calibri" w:hAnsi="Tahoma" w:cs="Tahoma"/>
                <w:iCs/>
              </w:rPr>
              <w:t>TIS; Play therapy; SALT; RDA etc impact on aims for SEND:</w:t>
            </w:r>
          </w:p>
        </w:tc>
        <w:tc>
          <w:tcPr>
            <w:tcW w:w="2257" w:type="dxa"/>
          </w:tcPr>
          <w:p w14:paraId="53DC4D45"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Weekly review of SEND interventions by SMT</w:t>
            </w:r>
          </w:p>
        </w:tc>
        <w:tc>
          <w:tcPr>
            <w:tcW w:w="1384" w:type="dxa"/>
          </w:tcPr>
          <w:p w14:paraId="458D4375" w14:textId="77777777" w:rsidR="00576EEF" w:rsidRPr="00FD2337" w:rsidRDefault="00576EEF" w:rsidP="00AA7048">
            <w:pPr>
              <w:spacing w:after="0" w:line="240" w:lineRule="auto"/>
              <w:rPr>
                <w:rFonts w:ascii="Tahoma" w:eastAsia="Calibri" w:hAnsi="Tahoma" w:cs="Tahoma"/>
              </w:rPr>
            </w:pPr>
          </w:p>
        </w:tc>
      </w:tr>
      <w:tr w:rsidR="00576EEF" w:rsidRPr="00FD2337" w14:paraId="52DA6248" w14:textId="77777777" w:rsidTr="00AA7048">
        <w:tc>
          <w:tcPr>
            <w:tcW w:w="1109" w:type="dxa"/>
            <w:shd w:val="clear" w:color="auto" w:fill="FFFF00"/>
          </w:tcPr>
          <w:p w14:paraId="597DC8BF"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 xml:space="preserve">Action D: </w:t>
            </w:r>
          </w:p>
          <w:p w14:paraId="498B2246" w14:textId="77777777" w:rsidR="00576EEF" w:rsidRPr="00FD2337" w:rsidRDefault="00576EEF" w:rsidP="00AA7048">
            <w:pPr>
              <w:spacing w:after="0" w:line="240" w:lineRule="auto"/>
              <w:rPr>
                <w:rFonts w:ascii="Tahoma" w:eastAsia="Calibri" w:hAnsi="Tahoma" w:cs="Tahoma"/>
                <w:b/>
              </w:rPr>
            </w:pPr>
          </w:p>
        </w:tc>
        <w:tc>
          <w:tcPr>
            <w:tcW w:w="7071" w:type="dxa"/>
            <w:shd w:val="clear" w:color="auto" w:fill="FFFFFF"/>
          </w:tcPr>
          <w:p w14:paraId="79AEBDEE"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Monitoring SEND (including use of termly SHIP partner visits and termly Primary Executive Lead visits) includes rigorous deep dives into SEND provision in all areas of the curriculum – see also Curriculum Monitoring timetable above</w:t>
            </w:r>
          </w:p>
        </w:tc>
        <w:tc>
          <w:tcPr>
            <w:tcW w:w="3342" w:type="dxa"/>
            <w:shd w:val="clear" w:color="auto" w:fill="FFFFFF"/>
          </w:tcPr>
          <w:p w14:paraId="3FB93FE2"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 xml:space="preserve">Our </w:t>
            </w:r>
            <w:r>
              <w:rPr>
                <w:rFonts w:ascii="Tahoma" w:eastAsia="Calibri" w:hAnsi="Tahoma" w:cs="Tahoma"/>
                <w:iCs/>
              </w:rPr>
              <w:t>c</w:t>
            </w:r>
            <w:r w:rsidRPr="00FD2337">
              <w:rPr>
                <w:rFonts w:ascii="Tahoma" w:eastAsia="Calibri" w:hAnsi="Tahoma" w:cs="Tahoma"/>
                <w:iCs/>
              </w:rPr>
              <w:t xml:space="preserve">urriculum meets the needs of children with SEND and appropriate adaptations are made </w:t>
            </w:r>
            <w:r>
              <w:rPr>
                <w:rFonts w:ascii="Tahoma" w:eastAsia="Calibri" w:hAnsi="Tahoma" w:cs="Tahoma"/>
                <w:iCs/>
              </w:rPr>
              <w:t>successfully</w:t>
            </w:r>
          </w:p>
        </w:tc>
        <w:tc>
          <w:tcPr>
            <w:tcW w:w="2257" w:type="dxa"/>
          </w:tcPr>
          <w:p w14:paraId="40D494A6"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 xml:space="preserve">Termly SHIP, PEL visits; Monitoring timetable </w:t>
            </w:r>
          </w:p>
        </w:tc>
        <w:tc>
          <w:tcPr>
            <w:tcW w:w="1384" w:type="dxa"/>
          </w:tcPr>
          <w:p w14:paraId="36576C16" w14:textId="77777777" w:rsidR="00576EEF" w:rsidRPr="00FD2337" w:rsidRDefault="00576EEF" w:rsidP="00AA7048">
            <w:pPr>
              <w:spacing w:after="0" w:line="240" w:lineRule="auto"/>
              <w:rPr>
                <w:rFonts w:ascii="Tahoma" w:eastAsia="Calibri" w:hAnsi="Tahoma" w:cs="Tahoma"/>
              </w:rPr>
            </w:pPr>
          </w:p>
        </w:tc>
      </w:tr>
      <w:tr w:rsidR="00576EEF" w:rsidRPr="00FD2337" w14:paraId="53E8FC6B" w14:textId="77777777" w:rsidTr="00AA7048">
        <w:tc>
          <w:tcPr>
            <w:tcW w:w="1109" w:type="dxa"/>
            <w:shd w:val="clear" w:color="auto" w:fill="FFFF00"/>
          </w:tcPr>
          <w:p w14:paraId="1EF93947"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 xml:space="preserve">Action E: </w:t>
            </w:r>
          </w:p>
          <w:p w14:paraId="5A171974" w14:textId="77777777" w:rsidR="00576EEF" w:rsidRPr="00FD2337" w:rsidRDefault="00576EEF" w:rsidP="00AA7048">
            <w:pPr>
              <w:spacing w:after="0" w:line="240" w:lineRule="auto"/>
              <w:rPr>
                <w:rFonts w:ascii="Tahoma" w:eastAsia="Calibri" w:hAnsi="Tahoma" w:cs="Tahoma"/>
                <w:b/>
              </w:rPr>
            </w:pPr>
          </w:p>
        </w:tc>
        <w:tc>
          <w:tcPr>
            <w:tcW w:w="7071" w:type="dxa"/>
            <w:shd w:val="clear" w:color="auto" w:fill="FFFFFF"/>
          </w:tcPr>
          <w:p w14:paraId="43386DFA" w14:textId="77777777" w:rsidR="00576EEF" w:rsidRPr="00FD2337" w:rsidRDefault="00576EEF" w:rsidP="00AA7048">
            <w:pPr>
              <w:spacing w:after="0" w:line="240" w:lineRule="auto"/>
              <w:rPr>
                <w:rFonts w:ascii="Tahoma" w:eastAsia="Calibri" w:hAnsi="Tahoma" w:cs="Tahoma"/>
                <w:iCs/>
              </w:rPr>
            </w:pPr>
            <w:r w:rsidRPr="00FD2337">
              <w:rPr>
                <w:rFonts w:ascii="Tahoma" w:eastAsia="Calibri" w:hAnsi="Tahoma" w:cs="Tahoma"/>
                <w:iCs/>
              </w:rPr>
              <w:t>Staff receive appropriate training including Inclusive Dyslexia Friendly Schools, Provision Map, Speech and Language Therapy and others as the arise</w:t>
            </w:r>
          </w:p>
        </w:tc>
        <w:tc>
          <w:tcPr>
            <w:tcW w:w="3342" w:type="dxa"/>
            <w:shd w:val="clear" w:color="auto" w:fill="FFFFFF"/>
          </w:tcPr>
          <w:p w14:paraId="66DFECCE"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All staff are effective and confident in their delivery of SEND interventions.</w:t>
            </w:r>
          </w:p>
        </w:tc>
        <w:tc>
          <w:tcPr>
            <w:tcW w:w="2257" w:type="dxa"/>
          </w:tcPr>
          <w:p w14:paraId="378C84A3"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PM Process; weekly drop-ins to all interventions</w:t>
            </w:r>
          </w:p>
        </w:tc>
        <w:tc>
          <w:tcPr>
            <w:tcW w:w="1384" w:type="dxa"/>
          </w:tcPr>
          <w:p w14:paraId="24C926FA" w14:textId="77777777" w:rsidR="00576EEF" w:rsidRPr="00FD2337" w:rsidRDefault="00576EEF" w:rsidP="00AA7048">
            <w:pPr>
              <w:spacing w:after="0" w:line="240" w:lineRule="auto"/>
              <w:rPr>
                <w:rFonts w:ascii="Tahoma" w:eastAsia="Calibri" w:hAnsi="Tahoma" w:cs="Tahoma"/>
              </w:rPr>
            </w:pPr>
          </w:p>
        </w:tc>
      </w:tr>
      <w:tr w:rsidR="00576EEF" w:rsidRPr="00FD2337" w14:paraId="2842502A" w14:textId="77777777" w:rsidTr="00AA7048">
        <w:tc>
          <w:tcPr>
            <w:tcW w:w="1109" w:type="dxa"/>
            <w:shd w:val="clear" w:color="auto" w:fill="FFFF00"/>
          </w:tcPr>
          <w:p w14:paraId="2C28662B" w14:textId="77777777" w:rsidR="00576EEF" w:rsidRPr="00FD2337" w:rsidRDefault="00576EEF" w:rsidP="00AA7048">
            <w:pPr>
              <w:spacing w:after="0" w:line="240" w:lineRule="auto"/>
              <w:rPr>
                <w:rFonts w:ascii="Tahoma" w:eastAsia="Calibri" w:hAnsi="Tahoma" w:cs="Tahoma"/>
                <w:b/>
              </w:rPr>
            </w:pPr>
            <w:r w:rsidRPr="00FD2337">
              <w:rPr>
                <w:rFonts w:ascii="Tahoma" w:eastAsia="Calibri" w:hAnsi="Tahoma" w:cs="Tahoma"/>
                <w:b/>
              </w:rPr>
              <w:t>Action F:</w:t>
            </w:r>
          </w:p>
        </w:tc>
        <w:tc>
          <w:tcPr>
            <w:tcW w:w="7071" w:type="dxa"/>
            <w:shd w:val="clear" w:color="auto" w:fill="FFFFFF"/>
          </w:tcPr>
          <w:p w14:paraId="24E45C89"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The last slide on each PPT has clear instructions or success criteria and remains on screen. Each curriculum area has 6 words per term which are known and used by ALL children</w:t>
            </w:r>
          </w:p>
        </w:tc>
        <w:tc>
          <w:tcPr>
            <w:tcW w:w="3342" w:type="dxa"/>
            <w:shd w:val="clear" w:color="auto" w:fill="FFFFFF"/>
          </w:tcPr>
          <w:p w14:paraId="67BEB03C" w14:textId="77777777" w:rsidR="00576EEF" w:rsidRPr="00FD2337" w:rsidRDefault="00576EEF" w:rsidP="00AA7048">
            <w:pPr>
              <w:spacing w:after="0" w:line="240" w:lineRule="auto"/>
              <w:rPr>
                <w:rFonts w:ascii="Tahoma" w:eastAsia="Calibri" w:hAnsi="Tahoma" w:cs="Tahoma"/>
                <w:iCs/>
                <w:color w:val="FF0000"/>
              </w:rPr>
            </w:pPr>
            <w:r w:rsidRPr="00FD2337">
              <w:rPr>
                <w:rFonts w:ascii="Tahoma" w:eastAsia="Calibri" w:hAnsi="Tahoma" w:cs="Tahoma"/>
                <w:iCs/>
              </w:rPr>
              <w:t>Children with SEND know more, do more and remember more.</w:t>
            </w:r>
          </w:p>
        </w:tc>
        <w:tc>
          <w:tcPr>
            <w:tcW w:w="2257" w:type="dxa"/>
          </w:tcPr>
          <w:p w14:paraId="197BDE0B" w14:textId="77777777" w:rsidR="00576EEF" w:rsidRPr="00FD2337" w:rsidRDefault="00576EEF" w:rsidP="00AA7048">
            <w:pPr>
              <w:spacing w:after="0" w:line="240" w:lineRule="auto"/>
              <w:rPr>
                <w:rFonts w:ascii="Tahoma" w:eastAsia="Calibri" w:hAnsi="Tahoma" w:cs="Tahoma"/>
                <w:i/>
                <w:color w:val="FF0000"/>
              </w:rPr>
            </w:pPr>
            <w:r w:rsidRPr="00FD2337">
              <w:rPr>
                <w:rFonts w:ascii="Tahoma" w:eastAsia="Calibri" w:hAnsi="Tahoma" w:cs="Tahoma"/>
                <w:iCs/>
              </w:rPr>
              <w:t>PM Process; daily drop-ins to all classes</w:t>
            </w:r>
          </w:p>
        </w:tc>
        <w:tc>
          <w:tcPr>
            <w:tcW w:w="1384" w:type="dxa"/>
          </w:tcPr>
          <w:p w14:paraId="40020338" w14:textId="77777777" w:rsidR="00576EEF" w:rsidRPr="00FD2337" w:rsidRDefault="00576EEF" w:rsidP="00AA7048">
            <w:pPr>
              <w:spacing w:after="0" w:line="240" w:lineRule="auto"/>
              <w:rPr>
                <w:rFonts w:ascii="Tahoma" w:eastAsia="Calibri" w:hAnsi="Tahoma" w:cs="Tahoma"/>
              </w:rPr>
            </w:pPr>
          </w:p>
        </w:tc>
      </w:tr>
      <w:tr w:rsidR="00576EEF" w:rsidRPr="00FD2337" w14:paraId="07706B1B" w14:textId="77777777" w:rsidTr="00AA7048">
        <w:tc>
          <w:tcPr>
            <w:tcW w:w="15163" w:type="dxa"/>
            <w:gridSpan w:val="5"/>
            <w:shd w:val="clear" w:color="auto" w:fill="FFFF00"/>
          </w:tcPr>
          <w:p w14:paraId="130A266A" w14:textId="77777777" w:rsidR="00576EEF" w:rsidRPr="00FD2337" w:rsidRDefault="00576EEF" w:rsidP="00AA7048">
            <w:pPr>
              <w:spacing w:after="0" w:line="240" w:lineRule="auto"/>
              <w:jc w:val="center"/>
              <w:rPr>
                <w:rFonts w:ascii="Tahoma" w:eastAsia="Calibri" w:hAnsi="Tahoma" w:cs="Tahoma"/>
                <w:b/>
              </w:rPr>
            </w:pPr>
            <w:r w:rsidRPr="00FD2337">
              <w:rPr>
                <w:rFonts w:ascii="Tahoma" w:eastAsia="Calibri" w:hAnsi="Tahoma" w:cs="Tahoma"/>
                <w:b/>
              </w:rPr>
              <w:t>Long Term Planning ~ 3 Year Overview</w:t>
            </w:r>
          </w:p>
        </w:tc>
      </w:tr>
      <w:tr w:rsidR="00576EEF" w:rsidRPr="00FD2337" w14:paraId="18096559" w14:textId="77777777" w:rsidTr="00AA7048">
        <w:tc>
          <w:tcPr>
            <w:tcW w:w="15163" w:type="dxa"/>
            <w:gridSpan w:val="5"/>
            <w:shd w:val="clear" w:color="auto" w:fill="FFFFFF"/>
          </w:tcPr>
          <w:p w14:paraId="7EC99FEE" w14:textId="77777777" w:rsidR="00576EEF" w:rsidRPr="00FD2337" w:rsidRDefault="00576EEF" w:rsidP="00AA7048">
            <w:pPr>
              <w:spacing w:after="0" w:line="240" w:lineRule="auto"/>
              <w:rPr>
                <w:rFonts w:ascii="Tahoma" w:eastAsia="Calibri" w:hAnsi="Tahoma" w:cs="Tahoma"/>
              </w:rPr>
            </w:pPr>
            <w:r w:rsidRPr="00FD2337">
              <w:rPr>
                <w:rFonts w:ascii="Tahoma" w:eastAsia="Calibri" w:hAnsi="Tahoma" w:cs="Tahoma"/>
                <w:iCs/>
              </w:rPr>
              <w:t>All children on the register are: happy, included, NARE or making accelerated progress; have curriculum interventions and support that meets their needs; are learning more, doing more and remembering more than has previously been the case.</w:t>
            </w:r>
          </w:p>
        </w:tc>
      </w:tr>
    </w:tbl>
    <w:p w14:paraId="3B81D2C9" w14:textId="7E803F7C" w:rsidR="00576EEF" w:rsidRDefault="00576EEF" w:rsidP="00576EEF">
      <w:bookmarkStart w:id="0" w:name="_GoBack"/>
      <w:bookmarkEnd w:id="0"/>
    </w:p>
    <w:p w14:paraId="1910696B" w14:textId="77777777" w:rsidR="00576EEF" w:rsidRDefault="00576EEF" w:rsidP="00576EEF"/>
    <w:p w14:paraId="48444173" w14:textId="77777777" w:rsidR="00AE3A91" w:rsidRPr="00576EEF" w:rsidRDefault="00AE3A91" w:rsidP="00576EEF"/>
    <w:sectPr w:rsidR="00AE3A91" w:rsidRPr="00576EEF" w:rsidSect="00AE3A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91"/>
    <w:rsid w:val="00576EEF"/>
    <w:rsid w:val="00AE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B602"/>
  <w15:chartTrackingRefBased/>
  <w15:docId w15:val="{C6C1FCB5-FE04-4571-964C-5B9C2643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A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2023-11-08T16:59:00Z</dcterms:created>
  <dcterms:modified xsi:type="dcterms:W3CDTF">2023-11-08T16:59:00Z</dcterms:modified>
</cp:coreProperties>
</file>